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律师执业中有关事项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44"/>
          <w:szCs w:val="44"/>
        </w:rPr>
        <w:t>承诺书</w:t>
      </w:r>
      <w:r>
        <w:rPr>
          <w:rFonts w:hint="eastAsia" w:ascii="黑体" w:hAnsi="黑体" w:eastAsia="黑体" w:cs="黑体"/>
          <w:bCs/>
          <w:sz w:val="44"/>
          <w:szCs w:val="44"/>
        </w:rPr>
        <w:br w:type="textWrapping"/>
      </w:r>
      <w:r>
        <w:rPr>
          <w:rFonts w:hint="eastAsia" w:ascii="黑体" w:hAnsi="黑体" w:eastAsia="黑体" w:cs="黑体"/>
          <w:bCs/>
          <w:sz w:val="44"/>
          <w:szCs w:val="44"/>
        </w:rPr>
        <w:t xml:space="preserve">  </w:t>
      </w:r>
    </w:p>
    <w:p>
      <w:pPr>
        <w:spacing w:line="560" w:lineRule="exact"/>
        <w:ind w:firstLine="640" w:firstLineChars="200"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司法部《律师事务所设立和管理环节突出问题清理规范工作方案》要求，为规范律师事务所设立和管理，进一步加强律师管理工作，促进全市律师行业高质量发展，结合律师行业突出问题专项治理，现就有关事项承诺如下（包括但不限于以下情况）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1.本人不存在投资律所的情况。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.本人不存在未经业务主管单位审查同意，不在民政部门登记，擅自成立律师联盟等非法社会组织的情况。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3.本人不存在参加以律师联盟名义组织的年会、论坛、培训、颁奖、交流访问、专业研讨、党建活动、案件互助合作等活动情况。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4.本人不存在发起，并有国（境）外律师、律所参与的联盟，不存在参与由国（境）外律师、律所与国内律师、律所在国内共同发起设立联盟的情况。</w:t>
      </w:r>
    </w:p>
    <w:p>
      <w:pPr>
        <w:spacing w:line="560" w:lineRule="exact"/>
        <w:ind w:firstLine="5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5.本人不存在通过“阴阳协议”方式出资控制多家律所，出资设立多家律所并公开以“律师集团”的名义开展活动的情况。</w:t>
      </w:r>
    </w:p>
    <w:p>
      <w:pPr>
        <w:spacing w:line="560" w:lineRule="exact"/>
        <w:ind w:firstLine="58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律师签名：</w:t>
      </w:r>
    </w:p>
    <w:p>
      <w:pPr>
        <w:spacing w:line="560" w:lineRule="exact"/>
        <w:ind w:firstLine="5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所属律师事务所名称：</w:t>
      </w:r>
    </w:p>
    <w:p>
      <w:pPr>
        <w:spacing w:line="560" w:lineRule="exact"/>
        <w:ind w:firstLine="5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437"/>
    <w:rsid w:val="00544DE4"/>
    <w:rsid w:val="006D7437"/>
    <w:rsid w:val="00AB6FC9"/>
    <w:rsid w:val="00C85805"/>
    <w:rsid w:val="00D27F1D"/>
    <w:rsid w:val="314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345</Characters>
  <Lines>2</Lines>
  <Paragraphs>1</Paragraphs>
  <TotalTime>1</TotalTime>
  <ScaleCrop>false</ScaleCrop>
  <LinksUpToDate>false</LinksUpToDate>
  <CharactersWithSpaces>404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2021-10-18T01:55:00Z</dcterms:created>
  <dc:creator>135</dc:creator>
  <cp:lastModifiedBy>dell</cp:lastModifiedBy>
  <dcterms:modified xsi:type="dcterms:W3CDTF">2021-10-21T03:36:58Z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